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</w:t>
      </w:r>
      <w:proofErr w:type="gramEnd"/>
      <w:r w:rsidRPr="004D1C4A">
        <w:rPr>
          <w:rFonts w:ascii="Times New Roman" w:hAnsi="Times New Roman" w:cs="Times New Roman"/>
          <w:b/>
          <w:sz w:val="28"/>
          <w:szCs w:val="28"/>
        </w:rPr>
        <w:t xml:space="preserve">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замглавы </w:t>
      </w:r>
      <w:r w:rsidR="001171EA">
        <w:rPr>
          <w:rFonts w:ascii="Times New Roman" w:hAnsi="Times New Roman" w:cs="Times New Roman"/>
          <w:b/>
          <w:sz w:val="28"/>
          <w:szCs w:val="28"/>
        </w:rPr>
        <w:t>Федеральной к</w:t>
      </w:r>
      <w:r w:rsidRPr="00BC27F8">
        <w:rPr>
          <w:rFonts w:ascii="Times New Roman" w:hAnsi="Times New Roman" w:cs="Times New Roman"/>
          <w:b/>
          <w:sz w:val="28"/>
          <w:szCs w:val="28"/>
        </w:rPr>
        <w:t>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 xml:space="preserve"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</w:t>
      </w:r>
      <w:proofErr w:type="gramStart"/>
      <w:r w:rsidRPr="00BC27F8">
        <w:rPr>
          <w:rFonts w:ascii="Times New Roman" w:hAnsi="Times New Roman" w:cs="Times New Roman"/>
          <w:i/>
          <w:sz w:val="28"/>
          <w:szCs w:val="28"/>
        </w:rPr>
        <w:t>проведении</w:t>
      </w:r>
      <w:proofErr w:type="gramEnd"/>
      <w:r w:rsidRPr="00BC27F8">
        <w:rPr>
          <w:rFonts w:ascii="Times New Roman" w:hAnsi="Times New Roman" w:cs="Times New Roman"/>
          <w:i/>
          <w:sz w:val="28"/>
          <w:szCs w:val="28"/>
        </w:rPr>
        <w:t xml:space="preserve">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A43B25" w:rsidRDefault="00A43B25" w:rsidP="001171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4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171EA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43B25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EF17B4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4</cp:revision>
  <cp:lastPrinted>2019-09-17T05:40:00Z</cp:lastPrinted>
  <dcterms:created xsi:type="dcterms:W3CDTF">2019-09-17T05:41:00Z</dcterms:created>
  <dcterms:modified xsi:type="dcterms:W3CDTF">2019-09-18T08:34:00Z</dcterms:modified>
</cp:coreProperties>
</file>